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F169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2770095F" wp14:editId="10243F1B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20" w:firstRow="1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7E1DF8" w14:paraId="64763F04" w14:textId="77777777" w:rsidTr="00092C63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03AAEF70" w14:textId="0EE522F4" w:rsidR="007E1DF8" w:rsidRPr="00B805DB" w:rsidRDefault="007E1DF8" w:rsidP="007E1DF8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74A7B6FA" w14:textId="77777777" w:rsidR="007E1DF8" w:rsidRDefault="007E1DF8" w:rsidP="007E1DF8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  <w:p w14:paraId="38CE7BF5" w14:textId="5FE87A46" w:rsidR="007E1DF8" w:rsidRPr="00A160B2" w:rsidRDefault="007E1DF8" w:rsidP="007E1DF8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7E1DF8" w14:paraId="16A514FC" w14:textId="77777777" w:rsidTr="00092C63">
        <w:tc>
          <w:tcPr>
            <w:tcW w:w="3388" w:type="dxa"/>
            <w:tcBorders>
              <w:top w:val="single" w:sz="18" w:space="0" w:color="auto"/>
            </w:tcBorders>
          </w:tcPr>
          <w:p w14:paraId="275C7491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0F098A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1DC897" w14:textId="25A1956A" w:rsidR="007E1DF8" w:rsidRDefault="00F250E9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D68A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February 202</w:t>
            </w:r>
            <w:r w:rsidR="001D68A1">
              <w:rPr>
                <w:rFonts w:cs="Arial"/>
              </w:rPr>
              <w:t>3</w:t>
            </w:r>
          </w:p>
        </w:tc>
      </w:tr>
      <w:tr w:rsidR="007E1DF8" w14:paraId="30614B7E" w14:textId="77777777" w:rsidTr="00092C63">
        <w:tc>
          <w:tcPr>
            <w:tcW w:w="3388" w:type="dxa"/>
          </w:tcPr>
          <w:p w14:paraId="5622D000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109282A5" w14:textId="77777777" w:rsidR="007E1DF8" w:rsidRPr="00F92398" w:rsidRDefault="007E1DF8" w:rsidP="007E1DF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2D41171E" w14:textId="77777777" w:rsidR="007E1DF8" w:rsidRDefault="007E1DF8" w:rsidP="007E1DF8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Information Report - Decisions taken under the Urgency Procedure - Executive</w:t>
            </w:r>
          </w:p>
          <w:p w14:paraId="5FAAA3F8" w14:textId="77777777" w:rsidR="007E1DF8" w:rsidRDefault="007E1DF8" w:rsidP="007E1DF8">
            <w:pPr>
              <w:pStyle w:val="Infotext"/>
              <w:rPr>
                <w:rFonts w:cs="Arial"/>
              </w:rPr>
            </w:pPr>
          </w:p>
        </w:tc>
      </w:tr>
      <w:tr w:rsidR="007E1DF8" w14:paraId="4C63AA76" w14:textId="77777777" w:rsidTr="00092C63">
        <w:tc>
          <w:tcPr>
            <w:tcW w:w="3388" w:type="dxa"/>
          </w:tcPr>
          <w:p w14:paraId="1F99F7EB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0C8AF5C" w14:textId="77777777" w:rsidR="007E1DF8" w:rsidRPr="00F92398" w:rsidRDefault="007E1DF8" w:rsidP="007E1DF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34A58171" w14:textId="3520A6ED" w:rsidR="007E1DF8" w:rsidRDefault="007E1DF8" w:rsidP="007E1DF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– Monitoring Officer </w:t>
            </w:r>
          </w:p>
        </w:tc>
      </w:tr>
      <w:tr w:rsidR="00A160B2" w14:paraId="4BBD44EF" w14:textId="77777777" w:rsidTr="00092C63">
        <w:tc>
          <w:tcPr>
            <w:tcW w:w="3388" w:type="dxa"/>
          </w:tcPr>
          <w:p w14:paraId="268F459D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616E5C38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1D4B56C" w14:textId="11E2C441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28C5EA61" w14:textId="77777777" w:rsidR="00A160B2" w:rsidRDefault="00A160B2" w:rsidP="00460070">
            <w:pPr>
              <w:pStyle w:val="Infotext"/>
              <w:rPr>
                <w:rFonts w:cs="Arial"/>
              </w:rPr>
            </w:pPr>
          </w:p>
        </w:tc>
      </w:tr>
    </w:tbl>
    <w:p w14:paraId="322781DE" w14:textId="77777777" w:rsidR="007E1DF8" w:rsidRDefault="007E1DF8"/>
    <w:tbl>
      <w:tblPr>
        <w:tblStyle w:val="TableGridLight"/>
        <w:tblW w:w="0" w:type="auto"/>
        <w:tblLook w:val="0020" w:firstRow="1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299"/>
      </w:tblGrid>
      <w:tr w:rsidR="00A160B2" w14:paraId="63A60343" w14:textId="77777777" w:rsidTr="00092C63">
        <w:tc>
          <w:tcPr>
            <w:tcW w:w="8309" w:type="dxa"/>
            <w:tcBorders>
              <w:bottom w:val="single" w:sz="4" w:space="0" w:color="auto"/>
            </w:tcBorders>
          </w:tcPr>
          <w:p w14:paraId="194ABF9F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1B687BFF" w14:textId="77777777" w:rsidTr="00092C63">
        <w:tc>
          <w:tcPr>
            <w:tcW w:w="8309" w:type="dxa"/>
            <w:tcBorders>
              <w:top w:val="single" w:sz="4" w:space="0" w:color="auto"/>
            </w:tcBorders>
          </w:tcPr>
          <w:p w14:paraId="42C54048" w14:textId="4F8AA898" w:rsidR="00460070" w:rsidRDefault="00460070" w:rsidP="00460070">
            <w:r w:rsidRPr="0036406F">
              <w:t>This report sets out</w:t>
            </w:r>
            <w:r>
              <w:t xml:space="preserve"> details of decisions taken under the Urgency procedure by the </w:t>
            </w:r>
            <w:r w:rsidR="001D68A1">
              <w:t>Leader</w:t>
            </w:r>
            <w:r>
              <w:t xml:space="preserve"> since the meeting of the Council on </w:t>
            </w:r>
            <w:r w:rsidR="00F250E9">
              <w:t>2</w:t>
            </w:r>
            <w:r w:rsidR="001D68A1">
              <w:t>4</w:t>
            </w:r>
            <w:r w:rsidR="00F35123" w:rsidRPr="00F35123">
              <w:rPr>
                <w:vertAlign w:val="superscript"/>
              </w:rPr>
              <w:t>th</w:t>
            </w:r>
            <w:r w:rsidR="00F35123">
              <w:t xml:space="preserve"> </w:t>
            </w:r>
            <w:r w:rsidR="00F250E9">
              <w:t>November</w:t>
            </w:r>
            <w:r w:rsidR="00DA4797">
              <w:t xml:space="preserve"> 202</w:t>
            </w:r>
            <w:r w:rsidR="001D68A1">
              <w:t>2</w:t>
            </w:r>
            <w:r>
              <w:t>.</w:t>
            </w:r>
          </w:p>
          <w:p w14:paraId="243FE01A" w14:textId="77777777" w:rsidR="00460070" w:rsidRPr="008E37B3" w:rsidRDefault="00460070" w:rsidP="00460070">
            <w:pPr>
              <w:rPr>
                <w:rFonts w:cs="Arial"/>
                <w:color w:val="00FFFF"/>
              </w:rPr>
            </w:pPr>
          </w:p>
          <w:p w14:paraId="0C22501F" w14:textId="46937444" w:rsidR="00A160B2" w:rsidRPr="00460070" w:rsidRDefault="00460070" w:rsidP="00460070">
            <w:pPr>
              <w:ind w:left="720" w:hanging="720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 Information</w:t>
            </w:r>
          </w:p>
        </w:tc>
      </w:tr>
    </w:tbl>
    <w:p w14:paraId="35E37927" w14:textId="64E2C36F" w:rsidR="005B6F7B" w:rsidRDefault="002A2389" w:rsidP="005B6F7B">
      <w:pPr>
        <w:pStyle w:val="Heading2"/>
      </w:pPr>
      <w:r>
        <w:t>Report</w:t>
      </w:r>
    </w:p>
    <w:p w14:paraId="72AB909A" w14:textId="77777777" w:rsidR="005B6F7B" w:rsidRPr="00D7344B" w:rsidRDefault="005B6F7B" w:rsidP="005B6F7B"/>
    <w:p w14:paraId="3AD75011" w14:textId="77777777" w:rsidR="005B6F7B" w:rsidRDefault="005B6F7B" w:rsidP="005B6F7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accordance with Committee Procedure Rule 47.6 set out in Part 4 of the Council’s Constitution, any </w:t>
      </w:r>
      <w:r w:rsidRPr="0036406F">
        <w:rPr>
          <w:rFonts w:cs="Arial"/>
          <w:szCs w:val="24"/>
        </w:rPr>
        <w:t>Executive decisions taken as a matter of urgency are reported to the next available meeting of the Council.</w:t>
      </w:r>
      <w:r>
        <w:rPr>
          <w:rFonts w:cs="Arial"/>
          <w:szCs w:val="24"/>
        </w:rPr>
        <w:t xml:space="preserve"> </w:t>
      </w:r>
    </w:p>
    <w:p w14:paraId="71277A35" w14:textId="77777777" w:rsidR="005B6F7B" w:rsidRDefault="005B6F7B" w:rsidP="005B6F7B">
      <w:pPr>
        <w:rPr>
          <w:rFonts w:cs="Arial"/>
          <w:szCs w:val="24"/>
        </w:rPr>
      </w:pPr>
    </w:p>
    <w:p w14:paraId="128841E3" w14:textId="4BF16C30" w:rsidR="005B6F7B" w:rsidRDefault="007854C7" w:rsidP="005B6F7B">
      <w:pPr>
        <w:rPr>
          <w:rFonts w:cs="Arial"/>
          <w:szCs w:val="24"/>
        </w:rPr>
      </w:pPr>
      <w:r>
        <w:rPr>
          <w:rFonts w:cs="Arial"/>
          <w:szCs w:val="24"/>
        </w:rPr>
        <w:t xml:space="preserve">Since the Council meeting on </w:t>
      </w:r>
      <w:r w:rsidR="00F250E9">
        <w:rPr>
          <w:rFonts w:cs="Arial"/>
          <w:szCs w:val="24"/>
        </w:rPr>
        <w:t>2</w:t>
      </w:r>
      <w:r w:rsidR="001D68A1">
        <w:rPr>
          <w:rFonts w:cs="Arial"/>
          <w:szCs w:val="24"/>
        </w:rPr>
        <w:t>4</w:t>
      </w:r>
      <w:r w:rsidR="00BC6942" w:rsidRPr="00BC6942">
        <w:rPr>
          <w:rFonts w:cs="Arial"/>
          <w:szCs w:val="24"/>
          <w:vertAlign w:val="superscript"/>
        </w:rPr>
        <w:t>th</w:t>
      </w:r>
      <w:r w:rsidR="00BC6942">
        <w:rPr>
          <w:rFonts w:cs="Arial"/>
          <w:szCs w:val="24"/>
        </w:rPr>
        <w:t xml:space="preserve"> </w:t>
      </w:r>
      <w:r w:rsidR="00F250E9">
        <w:rPr>
          <w:rFonts w:cs="Arial"/>
          <w:szCs w:val="24"/>
        </w:rPr>
        <w:t>November</w:t>
      </w:r>
      <w:r>
        <w:rPr>
          <w:rFonts w:cs="Arial"/>
          <w:szCs w:val="24"/>
        </w:rPr>
        <w:t xml:space="preserve"> 202</w:t>
      </w:r>
      <w:r w:rsidR="001D68A1">
        <w:rPr>
          <w:rFonts w:cs="Arial"/>
          <w:szCs w:val="24"/>
        </w:rPr>
        <w:t>2</w:t>
      </w:r>
      <w:r>
        <w:rPr>
          <w:rFonts w:cs="Arial"/>
          <w:szCs w:val="24"/>
        </w:rPr>
        <w:t>, o</w:t>
      </w:r>
      <w:r w:rsidR="00FE075A">
        <w:rPr>
          <w:rFonts w:cs="Arial"/>
          <w:szCs w:val="24"/>
        </w:rPr>
        <w:t>ne</w:t>
      </w:r>
      <w:r w:rsidR="00151D7F">
        <w:rPr>
          <w:rFonts w:cs="Arial"/>
          <w:szCs w:val="24"/>
        </w:rPr>
        <w:t xml:space="preserve"> </w:t>
      </w:r>
      <w:r w:rsidR="005B6F7B">
        <w:rPr>
          <w:rFonts w:cs="Arial"/>
          <w:szCs w:val="24"/>
        </w:rPr>
        <w:t xml:space="preserve">such decision </w:t>
      </w:r>
      <w:r w:rsidR="00F95CAB">
        <w:rPr>
          <w:rFonts w:cs="Arial"/>
          <w:szCs w:val="24"/>
        </w:rPr>
        <w:t xml:space="preserve">was </w:t>
      </w:r>
      <w:r w:rsidR="005B6F7B">
        <w:rPr>
          <w:rFonts w:cs="Arial"/>
          <w:szCs w:val="24"/>
        </w:rPr>
        <w:t>taken, the details of which are below:</w:t>
      </w:r>
    </w:p>
    <w:p w14:paraId="796F8E3C" w14:textId="47B08A42" w:rsidR="007C41F7" w:rsidRDefault="007C41F7" w:rsidP="005B6F7B">
      <w:pPr>
        <w:rPr>
          <w:rFonts w:cs="Arial"/>
          <w:szCs w:val="24"/>
        </w:rPr>
      </w:pPr>
    </w:p>
    <w:tbl>
      <w:tblPr>
        <w:tblStyle w:val="TableGrid"/>
        <w:tblW w:w="9092" w:type="dxa"/>
        <w:tblLayout w:type="fixed"/>
        <w:tblLook w:val="01E0" w:firstRow="1" w:lastRow="1" w:firstColumn="1" w:lastColumn="1" w:noHBand="0" w:noVBand="0"/>
      </w:tblPr>
      <w:tblGrid>
        <w:gridCol w:w="3188"/>
        <w:gridCol w:w="2953"/>
        <w:gridCol w:w="2951"/>
      </w:tblGrid>
      <w:tr w:rsidR="007C41F7" w:rsidRPr="00CC0D36" w14:paraId="5033EAD0" w14:textId="77777777" w:rsidTr="00092C63">
        <w:tc>
          <w:tcPr>
            <w:tcW w:w="3188" w:type="dxa"/>
          </w:tcPr>
          <w:p w14:paraId="68FDDAF5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Subject</w:t>
            </w:r>
          </w:p>
        </w:tc>
        <w:tc>
          <w:tcPr>
            <w:tcW w:w="2953" w:type="dxa"/>
          </w:tcPr>
          <w:p w14:paraId="6DC5CF21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 xml:space="preserve">Decision Maker </w:t>
            </w:r>
          </w:p>
          <w:p w14:paraId="58A814EE" w14:textId="77777777" w:rsidR="007C41F7" w:rsidRPr="00CC0D36" w:rsidRDefault="007C41F7" w:rsidP="00FA7313">
            <w:pPr>
              <w:rPr>
                <w:rFonts w:cs="Arial"/>
                <w:szCs w:val="24"/>
              </w:rPr>
            </w:pPr>
          </w:p>
        </w:tc>
        <w:tc>
          <w:tcPr>
            <w:tcW w:w="2951" w:type="dxa"/>
          </w:tcPr>
          <w:p w14:paraId="4337D6B0" w14:textId="77777777" w:rsidR="007C41F7" w:rsidRPr="00CC0D36" w:rsidRDefault="007C41F7" w:rsidP="00FA7313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Reason for Urgency</w:t>
            </w:r>
          </w:p>
        </w:tc>
      </w:tr>
      <w:tr w:rsidR="007C41F7" w:rsidRPr="00CC0D36" w14:paraId="00920E0A" w14:textId="77777777" w:rsidTr="00092C63">
        <w:tc>
          <w:tcPr>
            <w:tcW w:w="3188" w:type="dxa"/>
          </w:tcPr>
          <w:p w14:paraId="72C41556" w14:textId="1572BBF1" w:rsidR="007C41F7" w:rsidRPr="007553DA" w:rsidRDefault="007553DA" w:rsidP="00FA7313">
            <w:pPr>
              <w:rPr>
                <w:rFonts w:cs="Arial"/>
                <w:bCs/>
                <w:szCs w:val="24"/>
              </w:rPr>
            </w:pPr>
            <w:r w:rsidRPr="007553DA">
              <w:rPr>
                <w:bCs/>
                <w:iCs/>
              </w:rPr>
              <w:t>The Mayor of London’s Decision to Extend the Ultra-Low Emission Zone to the London Borough of Harrow</w:t>
            </w:r>
          </w:p>
        </w:tc>
        <w:tc>
          <w:tcPr>
            <w:tcW w:w="2953" w:type="dxa"/>
          </w:tcPr>
          <w:p w14:paraId="67737408" w14:textId="517C187F" w:rsidR="007C41F7" w:rsidRDefault="007553DA" w:rsidP="00FA7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</w:t>
            </w:r>
          </w:p>
        </w:tc>
        <w:tc>
          <w:tcPr>
            <w:tcW w:w="2951" w:type="dxa"/>
          </w:tcPr>
          <w:p w14:paraId="3E8024EA" w14:textId="130AF488" w:rsidR="007553DA" w:rsidRPr="00B75A31" w:rsidRDefault="007553DA" w:rsidP="007553DA">
            <w:pPr>
              <w:rPr>
                <w:lang w:val="en-US"/>
              </w:rPr>
            </w:pPr>
            <w:r w:rsidRPr="00B75A31">
              <w:rPr>
                <w:lang w:val="en-US"/>
              </w:rPr>
              <w:t>The report relate</w:t>
            </w:r>
            <w:r>
              <w:rPr>
                <w:lang w:val="en-US"/>
              </w:rPr>
              <w:t>d</w:t>
            </w:r>
            <w:r w:rsidRPr="00B75A31">
              <w:rPr>
                <w:lang w:val="en-US"/>
              </w:rPr>
              <w:t xml:space="preserve"> to the expansion of the Ultra-Low Emission Zone into</w:t>
            </w:r>
            <w:r>
              <w:rPr>
                <w:lang w:val="en-US"/>
              </w:rPr>
              <w:t xml:space="preserve"> Harrow</w:t>
            </w:r>
            <w:r w:rsidRPr="00B75A31">
              <w:rPr>
                <w:lang w:val="en-US"/>
              </w:rPr>
              <w:t xml:space="preserve"> and </w:t>
            </w:r>
            <w:r w:rsidR="00BC6942">
              <w:rPr>
                <w:lang w:val="en-US"/>
              </w:rPr>
              <w:t xml:space="preserve">noted that </w:t>
            </w:r>
            <w:r w:rsidRPr="00B75A31">
              <w:rPr>
                <w:lang w:val="en-US"/>
              </w:rPr>
              <w:t xml:space="preserve">if Legal Proceedings </w:t>
            </w:r>
            <w:r>
              <w:rPr>
                <w:lang w:val="en-US"/>
              </w:rPr>
              <w:t>were</w:t>
            </w:r>
            <w:r w:rsidRPr="00B75A31">
              <w:rPr>
                <w:lang w:val="en-US"/>
              </w:rPr>
              <w:t xml:space="preserve"> to be issued, </w:t>
            </w:r>
            <w:r w:rsidR="00BC6942">
              <w:rPr>
                <w:lang w:val="en-US"/>
              </w:rPr>
              <w:t xml:space="preserve">the </w:t>
            </w:r>
            <w:r w:rsidRPr="00B75A31">
              <w:rPr>
                <w:lang w:val="en-US"/>
              </w:rPr>
              <w:t xml:space="preserve">London Borough of Hillingdon, who </w:t>
            </w:r>
            <w:r w:rsidR="00BC6942">
              <w:rPr>
                <w:lang w:val="en-US"/>
              </w:rPr>
              <w:t xml:space="preserve">are </w:t>
            </w:r>
            <w:r w:rsidRPr="00B75A31">
              <w:rPr>
                <w:lang w:val="en-US"/>
              </w:rPr>
              <w:t xml:space="preserve">liaising with </w:t>
            </w:r>
            <w:r w:rsidRPr="00B75A31">
              <w:rPr>
                <w:lang w:val="en-US"/>
              </w:rPr>
              <w:lastRenderedPageBreak/>
              <w:t xml:space="preserve">other London Boroughs, requested confirmation of Harrow’s intentions by </w:t>
            </w:r>
            <w:r>
              <w:rPr>
                <w:lang w:val="en-US"/>
              </w:rPr>
              <w:t>2</w:t>
            </w:r>
            <w:r w:rsidRPr="009C447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B75A31">
              <w:rPr>
                <w:lang w:val="en-US"/>
              </w:rPr>
              <w:t xml:space="preserve">February 2023. </w:t>
            </w:r>
            <w:r w:rsidRPr="00575383">
              <w:rPr>
                <w:lang w:val="en-US"/>
              </w:rPr>
              <w:t>The decision</w:t>
            </w:r>
            <w:r>
              <w:rPr>
                <w:lang w:val="en-US"/>
              </w:rPr>
              <w:t xml:space="preserve"> was</w:t>
            </w:r>
            <w:r w:rsidRPr="00B75A31">
              <w:rPr>
                <w:lang w:val="en-US"/>
              </w:rPr>
              <w:t xml:space="preserve"> therefore</w:t>
            </w:r>
            <w:r w:rsidRPr="00575383">
              <w:rPr>
                <w:lang w:val="en-US"/>
              </w:rPr>
              <w:t xml:space="preserve"> urgent </w:t>
            </w:r>
            <w:proofErr w:type="gramStart"/>
            <w:r w:rsidRPr="00575383">
              <w:rPr>
                <w:lang w:val="en-US"/>
              </w:rPr>
              <w:t>in order to</w:t>
            </w:r>
            <w:proofErr w:type="gramEnd"/>
            <w:r w:rsidRPr="00575383">
              <w:rPr>
                <w:lang w:val="en-US"/>
              </w:rPr>
              <w:t xml:space="preserve"> meet the above deadline.</w:t>
            </w:r>
          </w:p>
          <w:p w14:paraId="5B950FF5" w14:textId="4D6609CE" w:rsidR="007C41F7" w:rsidRPr="007553DA" w:rsidRDefault="007C41F7" w:rsidP="005F449D">
            <w:pPr>
              <w:tabs>
                <w:tab w:val="left" w:pos="6237"/>
                <w:tab w:val="left" w:pos="8010"/>
              </w:tabs>
              <w:jc w:val="both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5AB4E68F" w14:textId="5980D80E" w:rsidR="007C41F7" w:rsidRDefault="007C41F7" w:rsidP="005B6F7B">
      <w:pPr>
        <w:rPr>
          <w:rFonts w:cs="Arial"/>
        </w:rPr>
      </w:pPr>
    </w:p>
    <w:p w14:paraId="326F1026" w14:textId="1F159AD3" w:rsidR="00802AC9" w:rsidRDefault="00802AC9" w:rsidP="00802AC9">
      <w:pPr>
        <w:rPr>
          <w:rFonts w:cs="Arial"/>
          <w:szCs w:val="24"/>
        </w:rPr>
      </w:pPr>
      <w:r>
        <w:rPr>
          <w:rFonts w:cs="Arial"/>
          <w:szCs w:val="24"/>
        </w:rPr>
        <w:t>As the decision w</w:t>
      </w:r>
      <w:r w:rsidR="00FE075A">
        <w:rPr>
          <w:rFonts w:cs="Arial"/>
          <w:szCs w:val="24"/>
        </w:rPr>
        <w:t>as</w:t>
      </w:r>
      <w:r>
        <w:rPr>
          <w:rFonts w:cs="Arial"/>
          <w:szCs w:val="24"/>
        </w:rPr>
        <w:t xml:space="preserve"> deemed urgent, the agreement of the Chair of the Overview and Scrutiny Committee was obtained that the decision would not be subject to the call-in procedure.</w:t>
      </w:r>
    </w:p>
    <w:p w14:paraId="171A7794" w14:textId="6D6A1F29" w:rsidR="006E5810" w:rsidRDefault="006E5810" w:rsidP="00802AC9">
      <w:pPr>
        <w:rPr>
          <w:rFonts w:cs="Arial"/>
          <w:szCs w:val="24"/>
        </w:rPr>
      </w:pPr>
    </w:p>
    <w:p w14:paraId="44A46CE2" w14:textId="2CCF023D" w:rsidR="006E5810" w:rsidRDefault="006E5810" w:rsidP="00802AC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General Exception</w:t>
      </w:r>
      <w:r w:rsidR="001E6295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 w:rsidRPr="006E5810">
        <w:rPr>
          <w:rFonts w:cs="Arial"/>
          <w:b/>
          <w:bCs/>
          <w:szCs w:val="24"/>
        </w:rPr>
        <w:t>Special Urgency</w:t>
      </w:r>
      <w:r w:rsidR="001E6295">
        <w:rPr>
          <w:rFonts w:cs="Arial"/>
          <w:b/>
          <w:bCs/>
          <w:szCs w:val="24"/>
        </w:rPr>
        <w:t xml:space="preserve"> and Private Meetings</w:t>
      </w:r>
    </w:p>
    <w:p w14:paraId="67105E95" w14:textId="77777777" w:rsidR="006E5810" w:rsidRDefault="006E5810" w:rsidP="00802AC9">
      <w:pPr>
        <w:rPr>
          <w:rFonts w:cs="Arial"/>
          <w:b/>
          <w:bCs/>
          <w:szCs w:val="24"/>
        </w:rPr>
      </w:pPr>
    </w:p>
    <w:p w14:paraId="21728276" w14:textId="12FDC27D" w:rsidR="00927C8D" w:rsidRDefault="006E5810" w:rsidP="00FE075A">
      <w:pPr>
        <w:rPr>
          <w:rFonts w:cs="Arial"/>
          <w:szCs w:val="24"/>
        </w:rPr>
      </w:pPr>
      <w:r>
        <w:rPr>
          <w:rFonts w:cs="Arial"/>
          <w:szCs w:val="24"/>
        </w:rPr>
        <w:t>In accordance with Rule 1</w:t>
      </w:r>
      <w:r w:rsidR="00BB3857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of the Access to Information Procedure Rules, the Chair of the Overview and Scrutiny Committee </w:t>
      </w:r>
      <w:r w:rsidR="00BB3857">
        <w:rPr>
          <w:rFonts w:cs="Arial"/>
          <w:szCs w:val="24"/>
        </w:rPr>
        <w:t>agreed</w:t>
      </w:r>
      <w:r w:rsidR="007854C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that the </w:t>
      </w:r>
      <w:r w:rsidR="00435AB3">
        <w:rPr>
          <w:rFonts w:cs="Arial"/>
          <w:szCs w:val="24"/>
        </w:rPr>
        <w:t xml:space="preserve">key </w:t>
      </w:r>
      <w:r>
        <w:rPr>
          <w:rFonts w:cs="Arial"/>
          <w:szCs w:val="24"/>
        </w:rPr>
        <w:t xml:space="preserve">decision in relation </w:t>
      </w:r>
      <w:r w:rsidR="00FE075A" w:rsidRPr="00FE075A">
        <w:rPr>
          <w:rFonts w:cs="Arial"/>
          <w:szCs w:val="24"/>
        </w:rPr>
        <w:t xml:space="preserve">to the following </w:t>
      </w:r>
      <w:r w:rsidR="007854C7">
        <w:rPr>
          <w:rFonts w:cs="Arial"/>
          <w:szCs w:val="24"/>
        </w:rPr>
        <w:t xml:space="preserve">report </w:t>
      </w:r>
      <w:r w:rsidR="00FE075A" w:rsidRPr="00FE075A">
        <w:rPr>
          <w:rFonts w:cs="Arial"/>
          <w:szCs w:val="24"/>
        </w:rPr>
        <w:t xml:space="preserve">to </w:t>
      </w:r>
      <w:r w:rsidR="007553DA">
        <w:rPr>
          <w:rFonts w:cs="Arial"/>
          <w:szCs w:val="24"/>
        </w:rPr>
        <w:t>the Leader</w:t>
      </w:r>
      <w:r w:rsidR="00435AB3" w:rsidRPr="00FE075A">
        <w:rPr>
          <w:rFonts w:cs="Arial"/>
          <w:szCs w:val="24"/>
        </w:rPr>
        <w:t>,</w:t>
      </w:r>
      <w:r w:rsidR="00435AB3" w:rsidRPr="00151D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which had not been included on the Key Decision Schedule</w:t>
      </w:r>
      <w:r w:rsidR="00927C8D">
        <w:rPr>
          <w:rFonts w:cs="Arial"/>
          <w:szCs w:val="24"/>
        </w:rPr>
        <w:t>,</w:t>
      </w:r>
      <w:r w:rsidR="00FE075A">
        <w:rPr>
          <w:rFonts w:cs="Arial"/>
          <w:szCs w:val="24"/>
        </w:rPr>
        <w:t xml:space="preserve"> </w:t>
      </w:r>
      <w:r w:rsidR="00BB3857">
        <w:rPr>
          <w:rFonts w:cs="Arial"/>
          <w:szCs w:val="24"/>
        </w:rPr>
        <w:t>c</w:t>
      </w:r>
      <w:r>
        <w:rPr>
          <w:rFonts w:cs="Arial"/>
          <w:szCs w:val="24"/>
        </w:rPr>
        <w:t>ould be taken</w:t>
      </w:r>
      <w:r w:rsidR="00927C8D">
        <w:rPr>
          <w:rFonts w:cs="Arial"/>
          <w:szCs w:val="24"/>
        </w:rPr>
        <w:t>:</w:t>
      </w:r>
    </w:p>
    <w:p w14:paraId="4301C899" w14:textId="77777777" w:rsidR="00927C8D" w:rsidRDefault="00927C8D" w:rsidP="00FE075A">
      <w:pPr>
        <w:rPr>
          <w:rFonts w:cs="Arial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66"/>
        <w:gridCol w:w="2766"/>
        <w:gridCol w:w="3252"/>
      </w:tblGrid>
      <w:tr w:rsidR="00927C8D" w14:paraId="2B3E8450" w14:textId="77777777" w:rsidTr="00D30D3D">
        <w:tc>
          <w:tcPr>
            <w:tcW w:w="2766" w:type="dxa"/>
          </w:tcPr>
          <w:p w14:paraId="4ED515AD" w14:textId="71B8F744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 xml:space="preserve">Subject </w:t>
            </w:r>
          </w:p>
        </w:tc>
        <w:tc>
          <w:tcPr>
            <w:tcW w:w="2766" w:type="dxa"/>
          </w:tcPr>
          <w:p w14:paraId="5FAD68E2" w14:textId="3BBCE8D5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>Decision Maker</w:t>
            </w:r>
          </w:p>
        </w:tc>
        <w:tc>
          <w:tcPr>
            <w:tcW w:w="3252" w:type="dxa"/>
          </w:tcPr>
          <w:p w14:paraId="1A9D9A8B" w14:textId="25DD0D5B" w:rsidR="00927C8D" w:rsidRPr="00927C8D" w:rsidRDefault="00927C8D" w:rsidP="00FE075A">
            <w:pPr>
              <w:rPr>
                <w:rFonts w:cs="Arial"/>
                <w:b/>
                <w:bCs/>
                <w:szCs w:val="24"/>
              </w:rPr>
            </w:pPr>
            <w:r w:rsidRPr="00927C8D">
              <w:rPr>
                <w:rFonts w:cs="Arial"/>
                <w:b/>
                <w:bCs/>
                <w:szCs w:val="24"/>
              </w:rPr>
              <w:t>Reason for Urgency</w:t>
            </w:r>
          </w:p>
        </w:tc>
      </w:tr>
      <w:tr w:rsidR="00927C8D" w14:paraId="37BD2AE8" w14:textId="77777777" w:rsidTr="00D30D3D">
        <w:tc>
          <w:tcPr>
            <w:tcW w:w="2766" w:type="dxa"/>
          </w:tcPr>
          <w:p w14:paraId="1866C549" w14:textId="71669F26" w:rsidR="00342777" w:rsidRPr="007553DA" w:rsidRDefault="007553DA" w:rsidP="00FE075A">
            <w:pPr>
              <w:rPr>
                <w:rFonts w:cs="Arial"/>
                <w:bCs/>
                <w:szCs w:val="24"/>
              </w:rPr>
            </w:pPr>
            <w:r w:rsidRPr="007553DA">
              <w:rPr>
                <w:bCs/>
                <w:iCs/>
              </w:rPr>
              <w:t>The Mayor of London’s Decision to Extend the Ultra-Low Emission Zone to the London Borough of Harrow</w:t>
            </w:r>
          </w:p>
        </w:tc>
        <w:tc>
          <w:tcPr>
            <w:tcW w:w="2766" w:type="dxa"/>
          </w:tcPr>
          <w:p w14:paraId="39AB3B4A" w14:textId="1C6A8751" w:rsidR="00927C8D" w:rsidRDefault="007553DA" w:rsidP="00FE07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>
              <w:rPr>
                <w:szCs w:val="24"/>
              </w:rPr>
              <w:t>eader</w:t>
            </w:r>
          </w:p>
        </w:tc>
        <w:tc>
          <w:tcPr>
            <w:tcW w:w="3252" w:type="dxa"/>
          </w:tcPr>
          <w:p w14:paraId="3EDDAD68" w14:textId="4B53FD90" w:rsidR="007553DA" w:rsidRPr="00575383" w:rsidRDefault="007553DA" w:rsidP="007553DA">
            <w:pPr>
              <w:rPr>
                <w:lang w:val="en-US"/>
              </w:rPr>
            </w:pPr>
            <w:r w:rsidRPr="00575383">
              <w:rPr>
                <w:lang w:val="en-US"/>
              </w:rPr>
              <w:t xml:space="preserve">At the time of the publication of the Key Decision Schedule, it </w:t>
            </w:r>
            <w:r w:rsidR="00976ED6">
              <w:rPr>
                <w:lang w:val="en-US"/>
              </w:rPr>
              <w:t xml:space="preserve">was </w:t>
            </w:r>
            <w:r w:rsidRPr="00575383">
              <w:rPr>
                <w:lang w:val="en-US"/>
              </w:rPr>
              <w:t xml:space="preserve">not </w:t>
            </w:r>
            <w:r w:rsidR="00976ED6">
              <w:rPr>
                <w:lang w:val="en-US"/>
              </w:rPr>
              <w:t>en</w:t>
            </w:r>
            <w:r w:rsidRPr="00575383">
              <w:rPr>
                <w:lang w:val="en-US"/>
              </w:rPr>
              <w:t xml:space="preserve">visaged that a Leader’s Decision meeting would be required, and </w:t>
            </w:r>
            <w:r w:rsidR="00976ED6">
              <w:rPr>
                <w:lang w:val="en-US"/>
              </w:rPr>
              <w:t xml:space="preserve">the </w:t>
            </w:r>
            <w:r w:rsidRPr="00575383">
              <w:rPr>
                <w:lang w:val="en-US"/>
              </w:rPr>
              <w:t xml:space="preserve">decision </w:t>
            </w:r>
            <w:r>
              <w:rPr>
                <w:lang w:val="en-US"/>
              </w:rPr>
              <w:t>could not</w:t>
            </w:r>
            <w:r w:rsidR="00F05136">
              <w:rPr>
                <w:lang w:val="en-US"/>
              </w:rPr>
              <w:t xml:space="preserve"> </w:t>
            </w:r>
            <w:r w:rsidRPr="00575383">
              <w:rPr>
                <w:lang w:val="en-US"/>
              </w:rPr>
              <w:t>wait until the next scheduled meeting of Cabinet on 1</w:t>
            </w:r>
            <w:r>
              <w:rPr>
                <w:lang w:val="en-US"/>
              </w:rPr>
              <w:t>6</w:t>
            </w:r>
            <w:r w:rsidR="00C66FAA" w:rsidRPr="00C66FAA">
              <w:rPr>
                <w:vertAlign w:val="superscript"/>
                <w:lang w:val="en-US"/>
              </w:rPr>
              <w:t>th</w:t>
            </w:r>
            <w:r w:rsidR="00C66FAA">
              <w:rPr>
                <w:lang w:val="en-US"/>
              </w:rPr>
              <w:t xml:space="preserve"> </w:t>
            </w:r>
            <w:r>
              <w:rPr>
                <w:lang w:val="en-US"/>
              </w:rPr>
              <w:t>February 2023</w:t>
            </w:r>
            <w:r w:rsidRPr="00575383">
              <w:rPr>
                <w:lang w:val="en-US"/>
              </w:rPr>
              <w:t>.</w:t>
            </w:r>
          </w:p>
          <w:p w14:paraId="790E6171" w14:textId="77777777" w:rsidR="00927C8D" w:rsidRPr="007553DA" w:rsidRDefault="00927C8D" w:rsidP="00FE075A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1B3A6327" w14:textId="41039F44" w:rsidR="006E5810" w:rsidRDefault="001E6295" w:rsidP="00FE075A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7153D3AD" w14:textId="77777777" w:rsidR="00F05136" w:rsidRDefault="00342777" w:rsidP="00BB3857">
      <w:pPr>
        <w:pStyle w:val="Heading2"/>
        <w:keepNext/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FF6D00">
        <w:rPr>
          <w:rFonts w:ascii="Arial" w:hAnsi="Arial"/>
          <w:sz w:val="24"/>
          <w:szCs w:val="24"/>
        </w:rPr>
        <w:t xml:space="preserve">ince the last report to </w:t>
      </w:r>
      <w:proofErr w:type="gramStart"/>
      <w:r w:rsidR="00FF6D00">
        <w:rPr>
          <w:rFonts w:ascii="Arial" w:hAnsi="Arial"/>
          <w:sz w:val="24"/>
          <w:szCs w:val="24"/>
        </w:rPr>
        <w:t>Council</w:t>
      </w:r>
      <w:proofErr w:type="gramEnd"/>
      <w:r w:rsidR="00FF6D0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it has been necessary to seek</w:t>
      </w:r>
      <w:r w:rsidR="00FF6D00">
        <w:rPr>
          <w:rFonts w:ascii="Arial" w:hAnsi="Arial"/>
          <w:sz w:val="24"/>
          <w:szCs w:val="24"/>
        </w:rPr>
        <w:t xml:space="preserve"> </w:t>
      </w:r>
      <w:r w:rsidR="007854C7">
        <w:rPr>
          <w:rFonts w:ascii="Arial" w:hAnsi="Arial"/>
          <w:sz w:val="24"/>
          <w:szCs w:val="24"/>
        </w:rPr>
        <w:t xml:space="preserve">the </w:t>
      </w:r>
      <w:r w:rsidR="00FF6D00">
        <w:rPr>
          <w:rFonts w:ascii="Arial" w:hAnsi="Arial"/>
          <w:sz w:val="24"/>
          <w:szCs w:val="24"/>
        </w:rPr>
        <w:t xml:space="preserve">agreement </w:t>
      </w:r>
      <w:r w:rsidR="007854C7">
        <w:rPr>
          <w:rFonts w:ascii="Arial" w:hAnsi="Arial"/>
          <w:sz w:val="24"/>
          <w:szCs w:val="24"/>
        </w:rPr>
        <w:t>of</w:t>
      </w:r>
      <w:r w:rsidR="00FF6D00">
        <w:rPr>
          <w:rFonts w:ascii="Arial" w:hAnsi="Arial"/>
          <w:sz w:val="24"/>
          <w:szCs w:val="24"/>
        </w:rPr>
        <w:t xml:space="preserve"> the Chair of the Overview and Scrutiny Committee for </w:t>
      </w:r>
      <w:r w:rsidR="007553DA">
        <w:rPr>
          <w:rFonts w:ascii="Arial" w:hAnsi="Arial"/>
          <w:sz w:val="24"/>
          <w:szCs w:val="24"/>
        </w:rPr>
        <w:t>the Leader</w:t>
      </w:r>
      <w:r w:rsidR="00FF6D00">
        <w:rPr>
          <w:rFonts w:ascii="Arial" w:hAnsi="Arial"/>
          <w:sz w:val="24"/>
          <w:szCs w:val="24"/>
        </w:rPr>
        <w:t xml:space="preserve"> to meet in private</w:t>
      </w:r>
      <w:r>
        <w:rPr>
          <w:rFonts w:ascii="Arial" w:hAnsi="Arial"/>
          <w:sz w:val="24"/>
          <w:szCs w:val="24"/>
        </w:rPr>
        <w:t xml:space="preserve"> </w:t>
      </w:r>
      <w:r w:rsidR="00BB3857">
        <w:rPr>
          <w:rFonts w:ascii="Arial" w:hAnsi="Arial"/>
          <w:sz w:val="24"/>
          <w:szCs w:val="24"/>
        </w:rPr>
        <w:t>in order to consider one of the appendices to the above-mentioned report</w:t>
      </w:r>
      <w:r>
        <w:rPr>
          <w:rFonts w:ascii="Arial" w:hAnsi="Arial"/>
          <w:sz w:val="24"/>
          <w:szCs w:val="24"/>
        </w:rPr>
        <w:t>.</w:t>
      </w:r>
    </w:p>
    <w:p w14:paraId="3BECE9C8" w14:textId="69154DBA" w:rsidR="002A2389" w:rsidRDefault="002A2389" w:rsidP="00BB3857">
      <w:pPr>
        <w:pStyle w:val="Heading2"/>
        <w:keepNext/>
        <w:spacing w:after="240"/>
      </w:pPr>
      <w:r>
        <w:t>Contact Details and Background Papers</w:t>
      </w:r>
    </w:p>
    <w:p w14:paraId="2206AD15" w14:textId="7ADB6502" w:rsidR="005E3F57" w:rsidRPr="00342777" w:rsidRDefault="007553DA" w:rsidP="005E3F57">
      <w:pPr>
        <w:pStyle w:val="Infotext"/>
        <w:rPr>
          <w:sz w:val="24"/>
          <w:szCs w:val="24"/>
        </w:rPr>
      </w:pPr>
      <w:r>
        <w:rPr>
          <w:sz w:val="24"/>
          <w:szCs w:val="24"/>
        </w:rPr>
        <w:t>Alison Atherton, Senior Professional Democratic S</w:t>
      </w:r>
      <w:r w:rsidR="00BB3857">
        <w:rPr>
          <w:sz w:val="24"/>
          <w:szCs w:val="24"/>
        </w:rPr>
        <w:t>e</w:t>
      </w:r>
      <w:r>
        <w:rPr>
          <w:sz w:val="24"/>
          <w:szCs w:val="24"/>
        </w:rPr>
        <w:t>rvices</w:t>
      </w:r>
    </w:p>
    <w:p w14:paraId="05947E3B" w14:textId="29F20AD7" w:rsidR="005E3F57" w:rsidRPr="00F05136" w:rsidRDefault="007553DA" w:rsidP="005E3F57">
      <w:pPr>
        <w:rPr>
          <w:rFonts w:cs="Arial"/>
        </w:rPr>
      </w:pPr>
      <w:r w:rsidRPr="00F05136">
        <w:rPr>
          <w:rFonts w:cs="Arial"/>
        </w:rPr>
        <w:t>e</w:t>
      </w:r>
      <w:r w:rsidR="005E3F57" w:rsidRPr="00F05136">
        <w:rPr>
          <w:rFonts w:cs="Arial"/>
        </w:rPr>
        <w:t xml:space="preserve">-mail:  </w:t>
      </w:r>
      <w:hyperlink r:id="rId8" w:history="1">
        <w:r w:rsidRPr="00F05136">
          <w:rPr>
            <w:rStyle w:val="Hyperlink"/>
            <w:rFonts w:cs="Arial"/>
          </w:rPr>
          <w:t>alison.atherton@harrow.gov.uk</w:t>
        </w:r>
      </w:hyperlink>
      <w:r w:rsidR="005E3F57" w:rsidRPr="00F05136">
        <w:rPr>
          <w:rFonts w:cs="Arial"/>
        </w:rPr>
        <w:t xml:space="preserve"> </w:t>
      </w:r>
    </w:p>
    <w:p w14:paraId="2CBB4645" w14:textId="77777777" w:rsidR="005E3F57" w:rsidRPr="00F05136" w:rsidRDefault="005E3F57" w:rsidP="005E3F57">
      <w:pPr>
        <w:rPr>
          <w:rFonts w:cs="Arial"/>
        </w:rPr>
      </w:pPr>
    </w:p>
    <w:p w14:paraId="27839EAF" w14:textId="544DA6C9" w:rsidR="005E3F57" w:rsidRDefault="005E3F57" w:rsidP="005E3F57">
      <w:pPr>
        <w:pStyle w:val="Infotext"/>
        <w:rPr>
          <w:b/>
        </w:rPr>
      </w:pPr>
      <w:r w:rsidRPr="004B7F92">
        <w:rPr>
          <w:b/>
        </w:rPr>
        <w:t>Background Papers:</w:t>
      </w:r>
    </w:p>
    <w:p w14:paraId="7F6B5C56" w14:textId="77777777" w:rsidR="005E3F57" w:rsidRPr="007553DA" w:rsidRDefault="005E3F57" w:rsidP="005E3F57">
      <w:pPr>
        <w:pStyle w:val="Infotext"/>
        <w:rPr>
          <w:sz w:val="24"/>
          <w:szCs w:val="24"/>
        </w:rPr>
      </w:pPr>
      <w:r w:rsidRPr="007553DA">
        <w:rPr>
          <w:sz w:val="24"/>
          <w:szCs w:val="24"/>
        </w:rPr>
        <w:t>Council’s Constitution</w:t>
      </w:r>
    </w:p>
    <w:p w14:paraId="1757743A" w14:textId="77777777" w:rsidR="00342777" w:rsidRDefault="00342777" w:rsidP="00342777">
      <w:pPr>
        <w:contextualSpacing/>
      </w:pPr>
    </w:p>
    <w:p w14:paraId="064577C9" w14:textId="46F2595E" w:rsidR="00342777" w:rsidRDefault="005E3F57" w:rsidP="00BB3857">
      <w:pPr>
        <w:contextualSpacing/>
      </w:pPr>
      <w:r>
        <w:t>Rep</w:t>
      </w:r>
      <w:r w:rsidR="00FE075A">
        <w:t>ort considered by</w:t>
      </w:r>
      <w:r w:rsidR="007553DA">
        <w:t xml:space="preserve"> the</w:t>
      </w:r>
      <w:r w:rsidR="00FE075A">
        <w:t xml:space="preserve"> </w:t>
      </w:r>
      <w:r w:rsidR="007553DA">
        <w:t xml:space="preserve">Leader </w:t>
      </w:r>
      <w:r w:rsidR="00FE075A">
        <w:t xml:space="preserve">on </w:t>
      </w:r>
      <w:r w:rsidR="007553DA">
        <w:t>1 February 2023</w:t>
      </w:r>
    </w:p>
    <w:p w14:paraId="5350D208" w14:textId="77777777" w:rsidR="00342777" w:rsidRDefault="00342777" w:rsidP="005E3F57">
      <w:pPr>
        <w:pStyle w:val="Infotext"/>
      </w:pPr>
    </w:p>
    <w:sectPr w:rsidR="00342777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1799" w14:textId="77777777" w:rsidR="00E609EF" w:rsidRDefault="00E609EF">
      <w:r>
        <w:separator/>
      </w:r>
    </w:p>
  </w:endnote>
  <w:endnote w:type="continuationSeparator" w:id="0">
    <w:p w14:paraId="7206C9C7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AE1F" w14:textId="77777777" w:rsidR="00E609EF" w:rsidRDefault="00E609EF">
      <w:r>
        <w:separator/>
      </w:r>
    </w:p>
  </w:footnote>
  <w:footnote w:type="continuationSeparator" w:id="0">
    <w:p w14:paraId="360D37EA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plc="08090005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plc="0809000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8090003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221"/>
    <w:multiLevelType w:val="hybridMultilevel"/>
    <w:tmpl w:val="0FB25C68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5D5C"/>
    <w:multiLevelType w:val="hybridMultilevel"/>
    <w:tmpl w:val="5FB8871E"/>
    <w:lvl w:ilvl="0" w:tplc="6C580A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16C80"/>
    <w:multiLevelType w:val="hybridMultilevel"/>
    <w:tmpl w:val="2220903C"/>
    <w:lvl w:ilvl="0" w:tplc="E08C135C">
      <w:start w:val="1"/>
      <w:numFmt w:val="decimal"/>
      <w:lvlText w:val="(%1)"/>
      <w:lvlJc w:val="left"/>
      <w:pPr>
        <w:ind w:left="1572" w:hanging="360"/>
      </w:p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>
      <w:start w:val="1"/>
      <w:numFmt w:val="lowerRoman"/>
      <w:lvlText w:val="%3."/>
      <w:lvlJc w:val="right"/>
      <w:pPr>
        <w:ind w:left="3012" w:hanging="180"/>
      </w:pPr>
    </w:lvl>
    <w:lvl w:ilvl="3" w:tplc="0809000F">
      <w:start w:val="1"/>
      <w:numFmt w:val="decimal"/>
      <w:lvlText w:val="%4."/>
      <w:lvlJc w:val="left"/>
      <w:pPr>
        <w:ind w:left="3732" w:hanging="360"/>
      </w:pPr>
    </w:lvl>
    <w:lvl w:ilvl="4" w:tplc="08090019">
      <w:start w:val="1"/>
      <w:numFmt w:val="lowerLetter"/>
      <w:lvlText w:val="%5."/>
      <w:lvlJc w:val="left"/>
      <w:pPr>
        <w:ind w:left="4452" w:hanging="360"/>
      </w:pPr>
    </w:lvl>
    <w:lvl w:ilvl="5" w:tplc="0809001B">
      <w:start w:val="1"/>
      <w:numFmt w:val="lowerRoman"/>
      <w:lvlText w:val="%6."/>
      <w:lvlJc w:val="right"/>
      <w:pPr>
        <w:ind w:left="5172" w:hanging="180"/>
      </w:pPr>
    </w:lvl>
    <w:lvl w:ilvl="6" w:tplc="0809000F">
      <w:start w:val="1"/>
      <w:numFmt w:val="decimal"/>
      <w:lvlText w:val="%7."/>
      <w:lvlJc w:val="left"/>
      <w:pPr>
        <w:ind w:left="5892" w:hanging="360"/>
      </w:pPr>
    </w:lvl>
    <w:lvl w:ilvl="7" w:tplc="08090019">
      <w:start w:val="1"/>
      <w:numFmt w:val="lowerLetter"/>
      <w:lvlText w:val="%8."/>
      <w:lvlJc w:val="left"/>
      <w:pPr>
        <w:ind w:left="6612" w:hanging="360"/>
      </w:pPr>
    </w:lvl>
    <w:lvl w:ilvl="8" w:tplc="0809001B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1A01"/>
    <w:multiLevelType w:val="hybridMultilevel"/>
    <w:tmpl w:val="FE8E1858"/>
    <w:lvl w:ilvl="0" w:tplc="7A8A9BA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9469">
    <w:abstractNumId w:val="16"/>
  </w:num>
  <w:num w:numId="2" w16cid:durableId="1981613656">
    <w:abstractNumId w:val="11"/>
  </w:num>
  <w:num w:numId="3" w16cid:durableId="1964727430">
    <w:abstractNumId w:val="15"/>
  </w:num>
  <w:num w:numId="4" w16cid:durableId="2119913364">
    <w:abstractNumId w:val="1"/>
  </w:num>
  <w:num w:numId="5" w16cid:durableId="7209045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644004">
    <w:abstractNumId w:val="9"/>
  </w:num>
  <w:num w:numId="7" w16cid:durableId="1755544246">
    <w:abstractNumId w:val="10"/>
  </w:num>
  <w:num w:numId="8" w16cid:durableId="2004234690">
    <w:abstractNumId w:val="5"/>
  </w:num>
  <w:num w:numId="9" w16cid:durableId="309411207">
    <w:abstractNumId w:val="3"/>
  </w:num>
  <w:num w:numId="10" w16cid:durableId="2075664366">
    <w:abstractNumId w:val="13"/>
  </w:num>
  <w:num w:numId="11" w16cid:durableId="969438178">
    <w:abstractNumId w:val="17"/>
  </w:num>
  <w:num w:numId="12" w16cid:durableId="1294602366">
    <w:abstractNumId w:val="12"/>
  </w:num>
  <w:num w:numId="13" w16cid:durableId="248658937">
    <w:abstractNumId w:val="2"/>
  </w:num>
  <w:num w:numId="14" w16cid:durableId="1649170566">
    <w:abstractNumId w:val="6"/>
  </w:num>
  <w:num w:numId="15" w16cid:durableId="156696853">
    <w:abstractNumId w:val="7"/>
  </w:num>
  <w:num w:numId="16" w16cid:durableId="1315335336">
    <w:abstractNumId w:val="14"/>
  </w:num>
  <w:num w:numId="17" w16cid:durableId="868106873">
    <w:abstractNumId w:val="4"/>
  </w:num>
  <w:num w:numId="18" w16cid:durableId="703018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57F10"/>
    <w:rsid w:val="000633A2"/>
    <w:rsid w:val="000679D2"/>
    <w:rsid w:val="00071EB4"/>
    <w:rsid w:val="00077298"/>
    <w:rsid w:val="00092C63"/>
    <w:rsid w:val="000A58A1"/>
    <w:rsid w:val="000A6659"/>
    <w:rsid w:val="000B0E6F"/>
    <w:rsid w:val="000B6DBB"/>
    <w:rsid w:val="000D2BF2"/>
    <w:rsid w:val="000F65C0"/>
    <w:rsid w:val="00151D7F"/>
    <w:rsid w:val="001939BA"/>
    <w:rsid w:val="001A6EB0"/>
    <w:rsid w:val="001B441D"/>
    <w:rsid w:val="001C5225"/>
    <w:rsid w:val="001D0ABA"/>
    <w:rsid w:val="001D68A1"/>
    <w:rsid w:val="001E0219"/>
    <w:rsid w:val="001E6295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05A9C"/>
    <w:rsid w:val="00305C2A"/>
    <w:rsid w:val="00332947"/>
    <w:rsid w:val="00333EB4"/>
    <w:rsid w:val="00342777"/>
    <w:rsid w:val="00345915"/>
    <w:rsid w:val="00365D29"/>
    <w:rsid w:val="00374F22"/>
    <w:rsid w:val="003C5209"/>
    <w:rsid w:val="003D2FFE"/>
    <w:rsid w:val="00400032"/>
    <w:rsid w:val="00410337"/>
    <w:rsid w:val="0042394B"/>
    <w:rsid w:val="00435AB3"/>
    <w:rsid w:val="00460070"/>
    <w:rsid w:val="00473B08"/>
    <w:rsid w:val="00474B5F"/>
    <w:rsid w:val="00474DE6"/>
    <w:rsid w:val="004A3CE6"/>
    <w:rsid w:val="004B2C9D"/>
    <w:rsid w:val="004B4A47"/>
    <w:rsid w:val="004E667D"/>
    <w:rsid w:val="004E6AF9"/>
    <w:rsid w:val="005031DF"/>
    <w:rsid w:val="00580A8E"/>
    <w:rsid w:val="00597314"/>
    <w:rsid w:val="005A61AF"/>
    <w:rsid w:val="005B6F7B"/>
    <w:rsid w:val="005D0886"/>
    <w:rsid w:val="005E384D"/>
    <w:rsid w:val="005E3F57"/>
    <w:rsid w:val="005F2181"/>
    <w:rsid w:val="005F449D"/>
    <w:rsid w:val="005F724B"/>
    <w:rsid w:val="00625DFF"/>
    <w:rsid w:val="0063072B"/>
    <w:rsid w:val="00662891"/>
    <w:rsid w:val="006628B7"/>
    <w:rsid w:val="00675FCB"/>
    <w:rsid w:val="006840AC"/>
    <w:rsid w:val="006A520F"/>
    <w:rsid w:val="006C3914"/>
    <w:rsid w:val="006D3648"/>
    <w:rsid w:val="006E5810"/>
    <w:rsid w:val="0074184E"/>
    <w:rsid w:val="00743829"/>
    <w:rsid w:val="007553DA"/>
    <w:rsid w:val="00755F8D"/>
    <w:rsid w:val="007854C7"/>
    <w:rsid w:val="00796503"/>
    <w:rsid w:val="007C41F7"/>
    <w:rsid w:val="007D2BDA"/>
    <w:rsid w:val="007D33AC"/>
    <w:rsid w:val="007D56C8"/>
    <w:rsid w:val="007E1DF8"/>
    <w:rsid w:val="007E3934"/>
    <w:rsid w:val="007E7303"/>
    <w:rsid w:val="00802AC9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27C8D"/>
    <w:rsid w:val="0093767E"/>
    <w:rsid w:val="00972A02"/>
    <w:rsid w:val="00976ED6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2720"/>
    <w:rsid w:val="00AA4BE8"/>
    <w:rsid w:val="00AC0AAB"/>
    <w:rsid w:val="00AC7BA9"/>
    <w:rsid w:val="00B0425E"/>
    <w:rsid w:val="00B900E2"/>
    <w:rsid w:val="00B9118E"/>
    <w:rsid w:val="00BB3857"/>
    <w:rsid w:val="00BB642A"/>
    <w:rsid w:val="00BC6942"/>
    <w:rsid w:val="00BD6115"/>
    <w:rsid w:val="00BD684A"/>
    <w:rsid w:val="00C32DAE"/>
    <w:rsid w:val="00C40E24"/>
    <w:rsid w:val="00C61B80"/>
    <w:rsid w:val="00C66FAA"/>
    <w:rsid w:val="00C92D9A"/>
    <w:rsid w:val="00C96EF5"/>
    <w:rsid w:val="00CB60D1"/>
    <w:rsid w:val="00D2466C"/>
    <w:rsid w:val="00D25064"/>
    <w:rsid w:val="00D27E67"/>
    <w:rsid w:val="00D30D3D"/>
    <w:rsid w:val="00D32B51"/>
    <w:rsid w:val="00D34668"/>
    <w:rsid w:val="00D3740E"/>
    <w:rsid w:val="00D40335"/>
    <w:rsid w:val="00D82F57"/>
    <w:rsid w:val="00D841A5"/>
    <w:rsid w:val="00D914D2"/>
    <w:rsid w:val="00DA25DB"/>
    <w:rsid w:val="00DA4797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05136"/>
    <w:rsid w:val="00F250E9"/>
    <w:rsid w:val="00F33EE3"/>
    <w:rsid w:val="00F35123"/>
    <w:rsid w:val="00F4213B"/>
    <w:rsid w:val="00F849ED"/>
    <w:rsid w:val="00F92398"/>
    <w:rsid w:val="00F95CAB"/>
    <w:rsid w:val="00FD31A0"/>
    <w:rsid w:val="00FE075A"/>
    <w:rsid w:val="00FF6AAD"/>
    <w:rsid w:val="00FF6D0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CA3E888"/>
  <w15:docId w15:val="{29E890B1-5994-49F6-A4B9-FEB4BD8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57"/>
    <w:rPr>
      <w:color w:val="605E5C"/>
      <w:shd w:val="clear" w:color="auto" w:fill="E1DFDD"/>
    </w:rPr>
  </w:style>
  <w:style w:type="table" w:styleId="TableGrid">
    <w:name w:val="Table Grid"/>
    <w:basedOn w:val="TableNormal"/>
    <w:rsid w:val="0009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2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151D7F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atherto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2683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Vishal Seegoolam</cp:lastModifiedBy>
  <cp:revision>2</cp:revision>
  <cp:lastPrinted>2007-07-12T09:53:00Z</cp:lastPrinted>
  <dcterms:created xsi:type="dcterms:W3CDTF">2023-02-15T13:01:00Z</dcterms:created>
  <dcterms:modified xsi:type="dcterms:W3CDTF">2023-02-15T13:01:00Z</dcterms:modified>
</cp:coreProperties>
</file>